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219A1" w:rsidRPr="003565D8">
        <w:rPr>
          <w:rFonts w:asciiTheme="minorHAnsi" w:hAnsiTheme="minorHAnsi" w:cstheme="minorHAnsi"/>
          <w:b/>
          <w:sz w:val="20"/>
        </w:rPr>
        <w:t>"</w:t>
      </w:r>
      <w:r w:rsidR="007224A5" w:rsidRPr="007224A5">
        <w:rPr>
          <w:rFonts w:asciiTheme="minorHAnsi" w:hAnsiTheme="minorHAnsi" w:cstheme="minorHAnsi"/>
          <w:b/>
          <w:sz w:val="20"/>
        </w:rPr>
        <w:t>Síťka extrakční na polypy endoskopická</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7224A5">
        <w:rPr>
          <w:rFonts w:asciiTheme="minorHAnsi" w:hAnsiTheme="minorHAnsi" w:cstheme="minorHAnsi"/>
          <w:b/>
          <w:sz w:val="20"/>
        </w:rPr>
        <w:t>994</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9D5C94">
        <w:rPr>
          <w:rFonts w:asciiTheme="minorHAnsi" w:hAnsiTheme="minorHAnsi" w:cstheme="minorHAnsi"/>
          <w:sz w:val="20"/>
          <w:szCs w:val="20"/>
        </w:rPr>
        <w:t>II.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endoskopie</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r>
      <w:r w:rsidR="007224A5" w:rsidRPr="00D17A2B">
        <w:rPr>
          <w:rFonts w:asciiTheme="minorHAnsi" w:hAnsiTheme="minorHAnsi" w:cstheme="minorHAnsi"/>
          <w:sz w:val="20"/>
        </w:rPr>
        <w:t>Cena dle této smlouvy nemůže být v souladu s tímto odstavcem změněna po dobu prvních 2 let trvání</w:t>
      </w:r>
      <w:r w:rsidR="007224A5">
        <w:rPr>
          <w:rFonts w:asciiTheme="minorHAnsi" w:hAnsiTheme="minorHAnsi" w:cstheme="minorHAnsi"/>
          <w:sz w:val="20"/>
        </w:rPr>
        <w:t xml:space="preserve"> </w:t>
      </w:r>
      <w:r w:rsidR="007224A5" w:rsidRPr="00D17A2B">
        <w:rPr>
          <w:rFonts w:asciiTheme="minorHAnsi" w:hAnsiTheme="minorHAnsi" w:cstheme="minorHAnsi"/>
          <w:sz w:val="20"/>
        </w:rPr>
        <w:t>této smlouvy. Prodávající je oprávněn požádat kupujícího po uplynutí 2 let trvání této smlouvy o úpravu ceny zvýšenou maximálně o míru inflace za dobu trvání 2 let této smlouvy</w:t>
      </w:r>
      <w:r w:rsidR="007224A5"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r>
      <w:r w:rsidR="007224A5"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r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lastRenderedPageBreak/>
        <w:t>4.3.</w:t>
      </w:r>
      <w:r w:rsidRPr="00C92131">
        <w:rPr>
          <w:rFonts w:asciiTheme="minorHAnsi" w:hAnsiTheme="minorHAnsi" w:cstheme="minorHAnsi"/>
          <w:sz w:val="20"/>
        </w:rPr>
        <w:tab/>
        <w:t>Smluvní strany jsou povinny žádost prodávajícího o navýšení ceny v dobré víře projednat.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7224A5" w:rsidRPr="00C92131" w:rsidRDefault="00696B63" w:rsidP="007224A5">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r>
      <w:r w:rsidR="007224A5" w:rsidRPr="00D17A2B">
        <w:rPr>
          <w:rFonts w:asciiTheme="minorHAnsi" w:hAnsiTheme="minorHAnsi" w:cstheme="minorHAnsi"/>
          <w:sz w:val="20"/>
        </w:rPr>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r w:rsidR="007224A5" w:rsidRPr="00C92131">
        <w:rPr>
          <w:rFonts w:asciiTheme="minorHAnsi" w:hAnsiTheme="minorHAnsi" w:cstheme="minorHAnsi"/>
          <w:sz w:val="20"/>
        </w:rPr>
        <w: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3"/>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7224A5">
        <w:rPr>
          <w:rFonts w:asciiTheme="minorHAnsi" w:hAnsiTheme="minorHAnsi" w:cstheme="minorHAnsi"/>
          <w:b/>
          <w:sz w:val="20"/>
        </w:rPr>
        <w:t>994</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w:t>
      </w:r>
      <w:r w:rsidRPr="00F8011D">
        <w:rPr>
          <w:sz w:val="20"/>
        </w:rPr>
        <w:lastRenderedPageBreak/>
        <w:t>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4"/>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7224A5">
        <w:rPr>
          <w:rFonts w:asciiTheme="minorHAnsi" w:hAnsiTheme="minorHAnsi" w:cstheme="minorHAnsi"/>
          <w:b/>
          <w:sz w:val="20"/>
        </w:rPr>
        <w:t>4</w:t>
      </w:r>
      <w:r w:rsidR="00CC22B1" w:rsidRPr="005A71A4">
        <w:rPr>
          <w:rFonts w:asciiTheme="minorHAnsi" w:hAnsiTheme="minorHAnsi" w:cstheme="minorHAnsi"/>
          <w:b/>
          <w:sz w:val="20"/>
        </w:rPr>
        <w:t xml:space="preserve">. </w:t>
      </w:r>
      <w:r w:rsidR="007224A5">
        <w:rPr>
          <w:rFonts w:asciiTheme="minorHAnsi" w:hAnsiTheme="minorHAnsi" w:cstheme="minorHAnsi"/>
          <w:b/>
          <w:sz w:val="20"/>
        </w:rPr>
        <w:t>3</w:t>
      </w:r>
      <w:r w:rsidR="00CC22B1" w:rsidRPr="005A71A4">
        <w:rPr>
          <w:rFonts w:asciiTheme="minorHAnsi" w:hAnsiTheme="minorHAnsi" w:cstheme="minorHAnsi"/>
          <w:b/>
          <w:sz w:val="20"/>
        </w:rPr>
        <w:t>. 202</w:t>
      </w:r>
      <w:r w:rsidR="00FB6015">
        <w:rPr>
          <w:rFonts w:asciiTheme="minorHAnsi" w:hAnsiTheme="minorHAnsi" w:cstheme="minorHAnsi"/>
          <w:b/>
          <w:sz w:val="20"/>
        </w:rPr>
        <w:t>5</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r w:rsidR="0052685D" w:rsidRPr="002E55A6">
        <w:rPr>
          <w:rFonts w:asciiTheme="minorHAnsi" w:hAnsiTheme="minorHAnsi" w:cstheme="minorHAnsi"/>
          <w:sz w:val="20"/>
          <w:szCs w:val="20"/>
        </w:rPr>
        <w:t xml:space="preserve">Tuto smlouvu může prodávající </w:t>
      </w:r>
      <w:r w:rsidR="00401B8B" w:rsidRPr="008062C2">
        <w:rPr>
          <w:rFonts w:asciiTheme="minorHAnsi" w:hAnsiTheme="minorHAnsi" w:cstheme="minorHAnsi"/>
          <w:sz w:val="20"/>
          <w:szCs w:val="20"/>
        </w:rPr>
        <w:t>kdykoli 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52685D" w:rsidRPr="008062C2" w:rsidRDefault="0052685D"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696B63" w:rsidRPr="006961E2" w:rsidRDefault="00696B63"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XfAw+dD9VoOTyHitKn06Bpw7vwsBoMXy6qp3ROa2ONAZHk2yzC/f/bAEauuvC/3WddcoQ9bptpxjLQkK754Mw==" w:salt="y4KNYs3VjSYGX4xsdkpN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D55A3"/>
    <w:rsid w:val="002E4F94"/>
    <w:rsid w:val="002E55A6"/>
    <w:rsid w:val="003049D4"/>
    <w:rsid w:val="00311A94"/>
    <w:rsid w:val="00334966"/>
    <w:rsid w:val="003471F4"/>
    <w:rsid w:val="003528B9"/>
    <w:rsid w:val="00352B96"/>
    <w:rsid w:val="003565D8"/>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224A5"/>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ED07-98A5-49A3-AB4E-2F27CA1B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2723</Words>
  <Characters>16067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9</cp:revision>
  <cp:lastPrinted>2024-01-12T07:02:00Z</cp:lastPrinted>
  <dcterms:created xsi:type="dcterms:W3CDTF">2024-01-12T07:04:00Z</dcterms:created>
  <dcterms:modified xsi:type="dcterms:W3CDTF">2024-12-06T10:25:00Z</dcterms:modified>
</cp:coreProperties>
</file>