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62986F79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9134850"/>
      <w:r w:rsidR="00E71CD6" w:rsidRPr="00E71CD6">
        <w:rPr>
          <w:rFonts w:ascii="Calibri" w:hAnsi="Calibri" w:cs="Calibri"/>
          <w:b/>
          <w:sz w:val="20"/>
          <w:szCs w:val="20"/>
        </w:rPr>
        <w:t>Zpracování PD na dochlazení budov</w:t>
      </w:r>
      <w:r w:rsidR="00A141B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="00A141B0">
        <w:rPr>
          <w:rFonts w:ascii="Calibri" w:hAnsi="Calibri" w:cs="Calibri"/>
          <w:b/>
          <w:sz w:val="20"/>
          <w:szCs w:val="20"/>
        </w:rPr>
        <w:t>O,P</w:t>
      </w:r>
      <w:proofErr w:type="gramEnd"/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</w:t>
      </w:r>
      <w:r w:rsidR="00E93D85">
        <w:rPr>
          <w:rFonts w:asciiTheme="minorHAnsi" w:hAnsiTheme="minorHAnsi" w:cstheme="minorHAnsi"/>
          <w:b/>
          <w:sz w:val="20"/>
          <w:szCs w:val="20"/>
        </w:rPr>
        <w:t>0</w:t>
      </w:r>
      <w:bookmarkEnd w:id="0"/>
      <w:r w:rsidR="00966F4C">
        <w:rPr>
          <w:rFonts w:asciiTheme="minorHAnsi" w:hAnsiTheme="minorHAnsi" w:cstheme="minorHAnsi"/>
          <w:b/>
          <w:sz w:val="20"/>
          <w:szCs w:val="20"/>
        </w:rPr>
        <w:t>877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17960019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C532F1">
        <w:rPr>
          <w:rFonts w:asciiTheme="minorHAnsi" w:hAnsiTheme="minorHAnsi" w:cstheme="minorHAnsi"/>
          <w:sz w:val="20"/>
          <w:szCs w:val="20"/>
        </w:rPr>
        <w:t>6</w:t>
      </w:r>
      <w:r w:rsidR="007D5C16">
        <w:rPr>
          <w:rFonts w:asciiTheme="minorHAnsi" w:hAnsiTheme="minorHAnsi" w:cstheme="minorHAnsi"/>
          <w:sz w:val="20"/>
          <w:szCs w:val="20"/>
        </w:rPr>
        <w:t xml:space="preserve">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966F4C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772CD097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1529AF">
        <w:rPr>
          <w:rFonts w:asciiTheme="minorHAnsi" w:hAnsiTheme="minorHAnsi" w:cstheme="minorHAnsi"/>
          <w:b/>
          <w:sz w:val="20"/>
          <w:szCs w:val="20"/>
        </w:rPr>
        <w:t>0</w:t>
      </w:r>
      <w:r w:rsidR="00966F4C">
        <w:rPr>
          <w:rFonts w:asciiTheme="minorHAnsi" w:hAnsiTheme="minorHAnsi" w:cstheme="minorHAnsi"/>
          <w:b/>
          <w:sz w:val="20"/>
          <w:szCs w:val="20"/>
        </w:rPr>
        <w:t>877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</w:t>
      </w:r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63CEFEB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</w:t>
      </w:r>
      <w:r w:rsidR="00F60CC6">
        <w:rPr>
          <w:rFonts w:asciiTheme="minorHAnsi" w:hAnsiTheme="minorHAnsi" w:cstheme="minorHAnsi"/>
          <w:sz w:val="20"/>
          <w:szCs w:val="20"/>
        </w:rPr>
        <w:t>do dotčených místností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24301CB3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F60CC6">
        <w:rPr>
          <w:rFonts w:asciiTheme="minorHAnsi" w:hAnsiTheme="minorHAnsi" w:cstheme="minorHAnsi"/>
          <w:szCs w:val="20"/>
        </w:rPr>
        <w:t>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097A8B76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192A07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 xml:space="preserve"> 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0C96FC9E" w:rsidR="00FC1EBB" w:rsidRPr="00284DAA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029592D0" w14:textId="72028BC6" w:rsidR="001F399B" w:rsidRPr="00284DAA" w:rsidRDefault="001F399B" w:rsidP="001F5D9E">
      <w:pPr>
        <w:pStyle w:val="Zkladntext"/>
        <w:spacing w:line="360" w:lineRule="auto"/>
        <w:ind w:firstLine="708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Příloha č. </w:t>
      </w:r>
      <w:r w:rsidR="007D5C16">
        <w:rPr>
          <w:rFonts w:asciiTheme="minorHAnsi" w:hAnsiTheme="minorHAnsi" w:cstheme="minorHAnsi"/>
          <w:color w:val="auto"/>
          <w:szCs w:val="20"/>
        </w:rPr>
        <w:t>2</w:t>
      </w:r>
      <w:r>
        <w:rPr>
          <w:rFonts w:asciiTheme="minorHAnsi" w:hAnsiTheme="minorHAnsi" w:cstheme="minorHAnsi"/>
          <w:color w:val="auto"/>
          <w:szCs w:val="20"/>
        </w:rPr>
        <w:t xml:space="preserve"> </w:t>
      </w:r>
      <w:r w:rsidR="00966F4C">
        <w:rPr>
          <w:rFonts w:asciiTheme="minorHAnsi" w:hAnsiTheme="minorHAnsi" w:cstheme="minorHAnsi"/>
          <w:color w:val="auto"/>
          <w:szCs w:val="20"/>
        </w:rPr>
        <w:t>–</w:t>
      </w:r>
      <w:r>
        <w:rPr>
          <w:rFonts w:asciiTheme="minorHAnsi" w:hAnsiTheme="minorHAnsi" w:cstheme="minorHAnsi"/>
          <w:color w:val="auto"/>
          <w:szCs w:val="20"/>
        </w:rPr>
        <w:t xml:space="preserve"> </w:t>
      </w:r>
      <w:r w:rsidR="00F8127D">
        <w:rPr>
          <w:rFonts w:asciiTheme="minorHAnsi" w:hAnsiTheme="minorHAnsi" w:cstheme="minorHAnsi"/>
          <w:color w:val="auto"/>
          <w:szCs w:val="20"/>
        </w:rPr>
        <w:t>Z</w:t>
      </w:r>
      <w:r>
        <w:rPr>
          <w:rFonts w:asciiTheme="minorHAnsi" w:hAnsiTheme="minorHAnsi" w:cstheme="minorHAnsi"/>
          <w:color w:val="auto"/>
          <w:szCs w:val="20"/>
        </w:rPr>
        <w:t>adání</w:t>
      </w:r>
      <w:r w:rsidR="00966F4C">
        <w:rPr>
          <w:rFonts w:asciiTheme="minorHAnsi" w:hAnsiTheme="minorHAnsi" w:cstheme="minorHAnsi"/>
          <w:color w:val="auto"/>
          <w:szCs w:val="20"/>
        </w:rPr>
        <w:t xml:space="preserve"> PD</w:t>
      </w:r>
      <w:bookmarkStart w:id="1" w:name="_GoBack"/>
      <w:bookmarkEnd w:id="1"/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966F4C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966F4C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65CD3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5A6D"/>
    <w:rsid w:val="00150638"/>
    <w:rsid w:val="001529AF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F399B"/>
    <w:rsid w:val="001F5D9E"/>
    <w:rsid w:val="00201913"/>
    <w:rsid w:val="00215F65"/>
    <w:rsid w:val="002521D3"/>
    <w:rsid w:val="00284DAA"/>
    <w:rsid w:val="00287131"/>
    <w:rsid w:val="00295BE8"/>
    <w:rsid w:val="00297AB7"/>
    <w:rsid w:val="002A5FC7"/>
    <w:rsid w:val="002A75E5"/>
    <w:rsid w:val="002E26A2"/>
    <w:rsid w:val="00315D90"/>
    <w:rsid w:val="0032039E"/>
    <w:rsid w:val="00320763"/>
    <w:rsid w:val="003330D5"/>
    <w:rsid w:val="00345D2A"/>
    <w:rsid w:val="003604D8"/>
    <w:rsid w:val="00365CF0"/>
    <w:rsid w:val="00375459"/>
    <w:rsid w:val="003805CB"/>
    <w:rsid w:val="00382DB3"/>
    <w:rsid w:val="003D1A83"/>
    <w:rsid w:val="00407E12"/>
    <w:rsid w:val="00410CCB"/>
    <w:rsid w:val="00435B6A"/>
    <w:rsid w:val="004559F4"/>
    <w:rsid w:val="0049549D"/>
    <w:rsid w:val="004C3F75"/>
    <w:rsid w:val="004C4CEC"/>
    <w:rsid w:val="004F3531"/>
    <w:rsid w:val="004F61D7"/>
    <w:rsid w:val="00504073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559F9"/>
    <w:rsid w:val="00692619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802214"/>
    <w:rsid w:val="00805E0E"/>
    <w:rsid w:val="00814FF8"/>
    <w:rsid w:val="008511ED"/>
    <w:rsid w:val="00857A7F"/>
    <w:rsid w:val="00890ACE"/>
    <w:rsid w:val="008C5488"/>
    <w:rsid w:val="008D1EA1"/>
    <w:rsid w:val="009027C1"/>
    <w:rsid w:val="0096216F"/>
    <w:rsid w:val="00966F4C"/>
    <w:rsid w:val="009B5587"/>
    <w:rsid w:val="009B5AEE"/>
    <w:rsid w:val="009D23F0"/>
    <w:rsid w:val="009D6D49"/>
    <w:rsid w:val="009E6BCE"/>
    <w:rsid w:val="009F7B15"/>
    <w:rsid w:val="00A141B0"/>
    <w:rsid w:val="00A268E5"/>
    <w:rsid w:val="00A27C92"/>
    <w:rsid w:val="00A3315A"/>
    <w:rsid w:val="00A343FE"/>
    <w:rsid w:val="00A41D13"/>
    <w:rsid w:val="00A64A2B"/>
    <w:rsid w:val="00A8315C"/>
    <w:rsid w:val="00A919E3"/>
    <w:rsid w:val="00AA03A1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C532F1"/>
    <w:rsid w:val="00D04966"/>
    <w:rsid w:val="00D1001F"/>
    <w:rsid w:val="00D15C57"/>
    <w:rsid w:val="00D206FE"/>
    <w:rsid w:val="00D44E58"/>
    <w:rsid w:val="00D601C3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71C5E"/>
    <w:rsid w:val="00E71CD6"/>
    <w:rsid w:val="00E74CDA"/>
    <w:rsid w:val="00E81876"/>
    <w:rsid w:val="00E8270D"/>
    <w:rsid w:val="00E9329F"/>
    <w:rsid w:val="00E93D85"/>
    <w:rsid w:val="00EB4D59"/>
    <w:rsid w:val="00EF12F2"/>
    <w:rsid w:val="00EF73D2"/>
    <w:rsid w:val="00F412E5"/>
    <w:rsid w:val="00F427EA"/>
    <w:rsid w:val="00F60CC6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470AF"/>
    <w:rsid w:val="000C2299"/>
    <w:rsid w:val="000F1BF4"/>
    <w:rsid w:val="001060B9"/>
    <w:rsid w:val="00196949"/>
    <w:rsid w:val="002061CB"/>
    <w:rsid w:val="00262AC0"/>
    <w:rsid w:val="00264056"/>
    <w:rsid w:val="002934E5"/>
    <w:rsid w:val="002A3E65"/>
    <w:rsid w:val="002C0278"/>
    <w:rsid w:val="002F207C"/>
    <w:rsid w:val="00352C9F"/>
    <w:rsid w:val="00470D65"/>
    <w:rsid w:val="00481E0B"/>
    <w:rsid w:val="0052700C"/>
    <w:rsid w:val="0058070C"/>
    <w:rsid w:val="00613E3A"/>
    <w:rsid w:val="006613B2"/>
    <w:rsid w:val="00707118"/>
    <w:rsid w:val="007239B7"/>
    <w:rsid w:val="00746D02"/>
    <w:rsid w:val="007A3E4B"/>
    <w:rsid w:val="007F7245"/>
    <w:rsid w:val="00894260"/>
    <w:rsid w:val="008A35C0"/>
    <w:rsid w:val="008A6E5D"/>
    <w:rsid w:val="009E7700"/>
    <w:rsid w:val="00A22FBA"/>
    <w:rsid w:val="00A70548"/>
    <w:rsid w:val="00A76FB5"/>
    <w:rsid w:val="00AA4ACB"/>
    <w:rsid w:val="00AE2AA9"/>
    <w:rsid w:val="00AF375F"/>
    <w:rsid w:val="00B1725B"/>
    <w:rsid w:val="00C42422"/>
    <w:rsid w:val="00C73737"/>
    <w:rsid w:val="00C87075"/>
    <w:rsid w:val="00D60887"/>
    <w:rsid w:val="00D72B13"/>
    <w:rsid w:val="00D735FA"/>
    <w:rsid w:val="00D92ED4"/>
    <w:rsid w:val="00DF5DCC"/>
    <w:rsid w:val="00E3567D"/>
    <w:rsid w:val="00E405A1"/>
    <w:rsid w:val="00E57061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F29F-942E-4F89-915D-CD2BE98F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2165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14913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14</cp:revision>
  <cp:lastPrinted>2018-03-06T11:48:00Z</cp:lastPrinted>
  <dcterms:created xsi:type="dcterms:W3CDTF">2024-07-15T10:37:00Z</dcterms:created>
  <dcterms:modified xsi:type="dcterms:W3CDTF">2025-07-21T10:33:00Z</dcterms:modified>
</cp:coreProperties>
</file>